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Framework Start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one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million pounds (£1,000,000); </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tab/>
      <w:t xml:space="preserv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IS7QaZ5ZQaQkl/NVFfsn+32NGg==">AMUW2mUyS4jc03GVyhxS6a4Qk5WSKsKpblbpat36P67zDmCM7EZ0jN3jyEG6GJT6/rhuR/SvAHojzzPDu6lS9r3ixrbbSc33iY22AD/lH8vnHWg/YDwKY3d2uUxTTVRXRrVxIngNUB5MZgwoADztcPmfCfRYkbGi/7bjIMCkZGVVN1euRaUTMX7n+2zNlQwJEyj+Z0NmSfx0Z9nDDGS2Uzi0TjWTt2z8loHjAqP8pgQBkIyJp+rnf3G8l4I+YTatrC0+ab3uVBojL9BxSYPgbE3Xc5t5YytgSpP8pWYlm+uaSgPbSMByD6M6xDf2k0EgpFLOxmMeVewoXKZJsR17OX8+r1PCaDR2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